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40" w:firstLine="0"/>
        <w:jc w:val="right"/>
        <w:spacing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ООО «Органайзер ЛидерТаск»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jc w:val="right"/>
        <w:spacing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УТВЕРЖДАЮ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jc w:val="right"/>
        <w:spacing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______________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jc w:val="right"/>
        <w:spacing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Абрамовский И.А.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jc w:val="right"/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«07» октября 2024 г.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ПРАВИЛА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внутреннего трудового распорядка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г. Ярославль                                                                                   </w:t>
        <w:tab/>
        <w:t xml:space="preserve">«07» октября 2024 г.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72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Настоящие Правила определ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яют трудовой распорядок в ООО «Органайзер ЛидерТаск», порядок приема и увольнения работников, основные обязанности сотрудников и администрации, режим рабочего времени и его использование, а также меры поощрения и взыскания за нарушение трудовой дисциплины.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Настоящие Правила являются обязательными для всех работников ООО «Органайзер ЛидерТаск». С настоящими Правилами должны быть ознакомлены все работники организации, включая принимаемых на работу.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Настоящие Правила вступают в силу с «01» июня 2024 года и действуют бессрочно до принятия новых Правил.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1. Прием на работу и увольнение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1.1. Прием на работу в организацию оформляется трудовым договором, на основании ч.1 ст. 68 ТК, а также регулируется Статьей 312.3. Особенности порядка взаимодействия дистанционного работника и работодателя.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1.2. При заключении трудового договора претендент на работу обязан предъявить работодателю (если иное не установлено Т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рудовым кодексом РФ и иными федеральными законами):</w:t>
        <w:br/>
        <w:t xml:space="preserve">  – трудовую книжку и (или) сведения о трудовой деятельности (ст. 65 ТК), за исключением случаев, когда трудовой договор заключается впервые или сотрудник поступает на работу на условиях совместительства;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Если новый сотрудник отказался от ведения бумажной трудовой книжки, предъявил только форму СТД-Р, сведений в которой недостат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очно для того, чтобы сделать вывод о его квалификации и опыте или посчитать страховой стаж для начисления пособий, работодатель имеет право запросить у сотрудника бумажную трудовую книжку, чтобы получить эту информацию и вернуть книжку работнику, или форму</w:t>
      </w:r>
      <w:r>
        <w:rPr>
          <w:rFonts w:ascii="Times New Roman" w:hAnsi="Times New Roman" w:eastAsia="Times New Roman" w:cs="Times New Roman"/>
          <w:color w:val="2a6099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СТД-СФР.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паспорт или иной документ, удостоверяющий личность;</w:t>
        <w:br/>
        <w:t xml:space="preserve">- диплом или иной документ о полученном образовании (полном или неполном) и (или)</w:t>
        <w:br/>
        <w:t xml:space="preserve">документ, подтверждающий специальность или квалификацию;</w:t>
        <w:br/>
        <w:t xml:space="preserve">- документ, который подтв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ерждает регистрацию в системе индивидуального</w:t>
        <w:br/>
        <w:t xml:space="preserve">персонифицированного учета, в том числе в форме электронного документа, либо</w:t>
        <w:br/>
        <w:t xml:space="preserve">страховое свидетельство государственного пенсионного страхования, за исключением случаев, когда трудовой договор заключается впервые;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при отсутствии регистрации в системе индивидуа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льного (персонифицированного) учета Работодатель передает сведения в Фонд пенсионного и социального страхования Российской Федерации для регистрации Работника;</w:t>
        <w:br/>
        <w:t xml:space="preserve"> - документы воинского учета – для военнообязанных и лиц, подлежащих призыву на</w:t>
        <w:br/>
        <w:t xml:space="preserve"> военную службу.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1.3. Запрещается требовать от лица, поступающего на работу, документы помимо предусмотренных Трудовым кодексом РФ, иными федеральными законами, указами Президента РФ и постановлениями Правительства РФ.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1.4. При заключении трудового договора впервые, начиная с 2021 года, трудовая книжка работодателем не оформляется. Учёт ведётся только в электронном виде.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1.5. Ознакомление и подписание документов происходит посредством кадрового электронного документооборота, системы Контур.кэдо.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1.6. Неквалифицированную электронную подпись (далее НЭП), Работодатель оформляет Работнику за свой счет.</w:t>
        <w:br/>
        <w:t xml:space="preserve">1.7. Прием на работу в организацию осуществляется, с прохождением срока испытания продолжительностью </w:t>
      </w: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до трех месяцев.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Для генерального директора и его заместителей, главного бухгалтера и его заместителей,  срок испытания может быть установлен </w:t>
      </w: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до шести месяцев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(ст. 70 ТК РФ).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Условие об испытании должно быть прямо указано в трудовом договоре.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1.8. Работодатель издает на основании заключенного трудового договора приказ (распоряжение) о приеме на работу.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9. Приказ Работодателя о п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риеме на работу объявляется Работнику под подпись (посредством Контур.кэдо) в трехдневный срок со дня фактического начала работы. По требованию Работника Работодатель обязан выдать ему надлежаще заверенную копию указанного приказа. Содержание приказа (расп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ряжения) работодателя должно соответствовать условиям заключенного трудового договора.</w:t>
        <w:br/>
        <w:t xml:space="preserve">1.10. При оформлении на работу работника как дистанционного, так и в  офис, и с гибридным графиком работы - ознакомление с ПВТР и иными ЛНА Работодателя, осуществляется </w:t>
      </w:r>
      <w:r>
        <w:rPr>
          <w:rFonts w:ascii="Times New Roman" w:hAnsi="Times New Roman" w:eastAsia="Times New Roman" w:cs="Times New Roman"/>
          <w:b/>
          <w:sz w:val="24"/>
          <w:szCs w:val="24"/>
          <w:u w:val="single"/>
          <w:rtl w:val="0"/>
        </w:rPr>
        <w:t xml:space="preserve">путем отправки всех ЛНА на личную электронную почту Работника, в письме “Онбординг”.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Работник должен ознакомиться и ответным письмом отправить “Ознакомлен”.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После получения НЭП, ознакомление с локально-нормативными актами Работодателя происходит в системе Контур.кэдо.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1.11. При оформлении Работника по трудовому договору</w:t>
      </w:r>
      <w:r>
        <w:rPr>
          <w:rFonts w:ascii="Times New Roman" w:hAnsi="Times New Roman" w:eastAsia="Times New Roman" w:cs="Times New Roman"/>
          <w:sz w:val="24"/>
          <w:szCs w:val="24"/>
          <w:u w:val="single"/>
          <w:rtl w:val="0"/>
        </w:rPr>
        <w:t xml:space="preserve"> в офис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, работодатель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rtl w:val="0"/>
        </w:rPr>
        <w:t xml:space="preserve">не оставляет у себя копии документов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, предъявляемые Работником. Записывает всю необходимую информацию с оригинала и возвращает Работнику, либо если требуется наличие копии документов, берет письменное согласие от Работника на хранение копий.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При оформлении Дистанционног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 работника по трудовому договору, Работник предоставляет фото документов и отправляет их на корпоративную почту ответственного сотрудника. В Трудовой договор с дистанционным работником, вносится запись о согласии на хранение фото документов в личном деле.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1.12. При поступлении сотрудника на работу или переводе его в установленном поря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дке на другую работу работодатель обязан:</w:t>
        <w:br/>
        <w:t xml:space="preserve"> - ознакомить его с порученной работой, условиями и оплатой труда, разъяснить сотруднику  его права и обязанности;</w:t>
        <w:br/>
        <w:t xml:space="preserve"> - ознакомить с настоящими Правилами и другими локальными нормативными актами;</w:t>
        <w:br/>
        <w:t xml:space="preserve"> - провести инструкт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аж по технике безопасности, производственной санитарии,</w:t>
        <w:br/>
        <w:t xml:space="preserve"> противопожарной охране и другим правилам охраны труда и по обязанности сохранения сведений, составляющих коммерческую тайну организации, и ответственности за ее разглашение или передачу другим лицам.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1.13.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Работодатель вправе на ос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новании статьи 22 ТК РФ устанавливать специальное программное обеспечение (далее ПО) на рабочие компьютеры, которое позволит ему контролировать, как работник исполняет свои трудовые обязанности и соблюдает режим работы. В том числе средство видео фиксации.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1.14. Прекращение трудового договора может иметь место только по основаниям,</w:t>
        <w:br/>
        <w:t xml:space="preserve">предусмотренным трудовым законодательством.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Работник имеет право расторгнуть трудовой договор, заключенный на неопределенный</w:t>
        <w:br/>
        <w:t xml:space="preserve">срок, письменно предупредив об этом работодателя за 14 календарных дней (две недели).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По истечении указанного срока предупрежд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ения об увольнении сотрудник вправе прекратить работу, а работодатель обязан выдать ему трудовую книжку и произвести с ним расчет. По договоренности между работником и Работодателем, трудовой договор может быть расторгнут в срок, о котором просит работник.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1.15. Срочный трудовой договор может быть расторгнут по инициативе работника, по</w:t>
        <w:br/>
        <w:t xml:space="preserve">соглашению сторон и иным основаниям, предусмотренным Трудовым кодексом РФ. 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Причиной для увольнения по срочному трудовому договору может служить окончание периода его действия.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Увольнению должно предшествовать письменное предупреждение от руководства, выданное работнику не менее чем за 3 календарных дня. Факт того, что увольняемое лицо ознакомлено с направленным ему уведомлением, требуется зафиксировать.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Увольнение по срочному трудовому договору, вызванное инициативой работника, должно сопровождаться с его стороны письменным уведомлением руководства за 3 календарных дня до предполагаемого срока прекращения трудовых отношений.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1.16. Прекращение трудового договора оформляется приказом по организации.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Днем увольнения считается последний день работы, за исключением случаев, когда</w:t>
        <w:br/>
        <w:t xml:space="preserve">сотрудник фактически не работал, но за ним в соответствии с трудовым законодательством сохранялось место работы (должность).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Записи о причинах увольнения в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трудовую книжку должны производится в точном соответствии с формулировкой действующего законодательства и со ссылкой на соответствующую статью, пункт закона. </w:t>
        <w:br/>
        <w:t xml:space="preserve">1.17. До истечения срока предупреждения об увольнении работник имеет право в любое время отозвать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свое заявление. Увольнение в этом случае не производится, если на его место не приглашен в письменной форме другой работник, которому в соответствии с Трудовым кодексом и иными Федеральными законами не может быть отказано в заключении трудового договора, </w:t>
      </w: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в соответствии с ч.4 ст.80 Трудового кодекса РФ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.</w:t>
        <w:br/>
        <w:t xml:space="preserve">Запись в трудовую книжку о причинах увольнения должны производиться со ссылкой на соответствующие статью,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rtl w:val="0"/>
        </w:rPr>
        <w:t xml:space="preserve">часть статьи,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пункт статьи настоящего кодекса или иного федерального закона.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2. Порядок формирования и выдачи сведений о трудовой деятельности работников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2.1. С 1 января 2020 года Организация в электронном виде ведет и предоставляет в Пенсионный фонд России, а с 1 января 2023 г. в СФР-Социальный Фонд России</w:t>
      </w:r>
      <w:r>
        <w:rPr>
          <w:rFonts w:ascii="Times New Roman" w:hAnsi="Times New Roman" w:eastAsia="Times New Roman" w:cs="Times New Roman"/>
          <w:color w:val="2a6099"/>
          <w:sz w:val="24"/>
          <w:szCs w:val="24"/>
          <w:rtl w:val="0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св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едения о трудовой деятельности каждого работника. Сведения включают в себя данные о месте работы, трудовой функции, датах приема на работу, постоянных переводах, основаниях и причинах расторжения договора с работниками, а также другие необходимые сведения.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2.2. С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отрудники Организации, которые отвечают за ведение и предоставление в Социальный фонд России сведений о трудовой деятельности работников, назначаются приказом генерального директора. Указанные в приказе сотрудники должны быть ознакомлены с ним под подпись.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2.3. Отчет в СФР о приемах, увольнениях и договорах ГПХ сдается не позднее следующего рабочего дня после того, как издан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приказ о приеме на работу или увольнении, а также после того, как заключен или расторгнут договор с исполнителем. В такой же срок сдается  отчет о приостановлении и возобновлении действия трудового договора из-за мобилизации, Закон от 07.10.2022 № 379-ФЗ.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2.4. Работодатель обязан предоставить работнику сведения о трудовой деятельности за период работы в организации способом, указанном в заявлении работника: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на бумажном носителе, заверенные надлежащим способом;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в форме электронного документа, подписанного усиленной квалифицированной электронной подписью (в случае ее наличия у работодателя);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Сведения о трудовой деятельности предоставляются: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в период работы не позднее трех рабочих дней со дня подачи этого заявления;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при увольнении — в день прекращения трудового договора.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2.5. Заявление работника о выдаче сведений о трудовой деятельности у работодат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еля может быть подано в письменном виде или направлено на электронную почту работодателя – сотруднику, который занимается кадровым делопроизводством, либо ответственному сотруднику, который передает сведения аутсор</w:t>
      </w:r>
      <w:r>
        <w:rPr>
          <w:rFonts w:ascii="Times New Roman" w:hAnsi="Times New Roman" w:eastAsia="Times New Roman" w:cs="Times New Roman"/>
          <w:color w:val="ffffff"/>
          <w:sz w:val="24"/>
          <w:szCs w:val="24"/>
          <w:highlight w:val="white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компании, которая обслуживает ООО «Органайзер ЛидерТаск».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При использовании электронной почты работодателя работник направляет отсканированное заявление, в котором содержится: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наименование работодателя;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должностное лицо, на имя которого направлено заявление - Генеральный директор;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просьба о направлении в форме электронного документа сведений о трудовой деятельности у работодателя;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адрес электронной почты работника;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собственноручная подпись работника;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дата написания заявления.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2.6. В случае, когда в день прекращ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ения трудового договора выдать работнику сведения о трудовой деятельности невозможно в связи с его отсутствием либо отказом от их получения, работодатель направляет работнику их по почте заказным письмом на бумажном носителе, заверенные надлежащим образом.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3. Основные права, обязанности и ответственность работников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3.1. Работник имеет право на: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предоставление ему работы, обусловленной трудовым договором;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своевременную и в полном объеме выплату зарплаты в соответствии со своей квалификацией, сложностью труда, количеством и качеством выполненной работы;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отдых, обеспечиваемый установлением нормальной продолжительности рабочего времени, предоставлением еженедельных выходных дней, нерабочих праздничных дней, оплачиваемых ежегодных отпусков;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полную достоверную информацию об условиях труда и требованиях охраны труда на удаленном рабочем месте;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профессиональную подготовку, переподготовку и повышение своей квалификации в порядке, установленном законодательством РФ;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участие в управлении организацией в предусмотренных законодательством РФ формах;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защиту своих трудовых прав, свобод и законных интересов всеми не запрещенными законом способами;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возмещение вреда, причиненного ему в связи с исполнением им трудовых обязанностей, и компенсацию морального вреда в порядке, установленном законодательством РФ;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обязательное социальное страхование в случаях, предусмотренных законодательством РФ.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3.2. Работники должны: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добросовестно выполнять свои трудовые обязанности, своевременно и точно выполнять всю порученную работу, не допускать нарушений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срока выполнения заданий (срок выполнения задания, дата и время, должны быть указаны при постановке задачи), использовать все рабочее время по назначению, воздерживаться от действий, отвлекающих от выполнения прямых трудовых обязанностей (не использовать р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абочее время с 9:00 до 18:00 для просмотра личных социальных сетей: ВКонтакте, Одноклассники, Телеграмм и другие социальные сети), не заниматься личными делами во время рабочего дня, соблюдать трудовую дисциплину и Правила внутреннего трудового распорядка;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улучшать качество работы, постоянно повышать свой профессиональный и культурный уровень, заниматься самообразованием;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соблюдать установленный порядок хранения документов и материальных ценностей, соблюдать порядок делопроизводства;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в случае приобретения Работодателем компьютерной техники для Дистанционного Работника, бережно относиться к имуществу работодателя;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соблюдать нормы, правила и инструкции по охране труда;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не разглашать как в России, так и за рубежом сведения, полученные в силу служебного положения и составляющие коммерческую тайну, распространение которой может нанести вред работодателю и (или) другим работникам;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выполнять иные обязанности, предусмотренные трудовым законодательством РФ.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3.3. Круг обязанностей, которые выполняет каждый работник по своей специальности, квалификации, должности, определяется трудовым договором и (или) должностной картой.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3.4. Работник обязан возместить работодателю причиненный ему прямой действительный ущерб. Неполученные доходы (упущенна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я выгода) взысканию с работника не подлежат. Работник несет материальную ответственность как за прямой действительный ущерб, непосредственно причиненный им работодателю, так и за ущерб, возникший у работодателя в результате возмещения им ущерба иным лицам.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4. Основные права и обязанности работодателя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4.1. Работодатель имеет право: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br/>
        <w:t xml:space="preserve">  – заключать, изменять и расторгать трудовые договоры с работниками в порядке и на</w:t>
        <w:br/>
        <w:t xml:space="preserve">  условиях, которые установлены законодательством РФ;</w:t>
        <w:br/>
        <w:t xml:space="preserve">  –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вести коллективные переговоры и заключать коллективные договоры;</w:t>
        <w:br/>
        <w:t xml:space="preserve">  – поощрять работников за добросовестный эффективный труд;</w:t>
        <w:br/>
        <w:t xml:space="preserve">  – требовать от сотрудников исполнения ими трудовых обязанностей и бережного отношения  к имуществу работодателя и других работни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ков, соблюдения Правил трудового распорядка  организации;</w:t>
        <w:br/>
        <w:t xml:space="preserve">  – привлекать сотрудников к дисциплинарной и материальной ответственности в порядке, установленном законодательством РФ;</w:t>
        <w:br/>
        <w:t xml:space="preserve">  – принимать локальные нормативные акты;</w:t>
        <w:br/>
        <w:t xml:space="preserve"> 4.1.1. Работодатель вправе требов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ать от работников исполнения ими трудовых обязанностей и бережного отношения к имуществу работодателя, а также к имуществу других работников и имуществу третьих лиц, находящемуся у работодателя, если он несет ответственность за сохранность этого имущества.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4.1.2. Работодатель вправе контролировать исполнени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 работниками трудовых функций, соблюдение правил использования оборудования любыми законными способами, в том числе с использованием контроля наблюдения за ПК, посредством установки  программного обеспечения Staffcop Enterprise или иное специализированное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/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программное обеспечение, в том числе видеокамеры, которые могут быть установлены на компьютеры работников.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4.2. Работодатель обязан: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br/>
        <w:t xml:space="preserve"> 4.2.1. Соблюдать законодательство о труде, локальные нормативные акты, условия трудовых  договоров;</w:t>
        <w:br/>
        <w:t xml:space="preserve"> 4.2.2. Предоставлять сотрудникам работу, обусловленную трудовым договором;</w:t>
        <w:br/>
        <w:t xml:space="preserve"> 4.2.3. Правильно организовывать труд работни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ков на закрепленных за ними рабочих местах,  обеспечив необходимыми принадлежностями и оргтехникой, создавая здоровые и  безопасные условия труда, соответствующие правилам по охране труда (технике безопасности, санитарным нормам, противопожарным правилам);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4.2.4. Работодатель с 1 марта 2022 года в целях предупреждения производственного травматизма и профессиональных заболеваний осуществляет учет и рассмотрение обстоятельств и причин, приведших к возникновению микроповреждений (микротравм) работников.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4.2.5. Работодатель регистрирует микроповреждение (микротравму) на основании письменного заявления работника в журнале регистрации микротравм.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4.2.6. С целью рассмотрения обстоятельств и причин, приведших к возникновению микроповреждения (микротравмы) работника, Работодатель создает приказом комиссию в составе трех человек.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4.2.7. По результатам рассмотрения обстоятельств и причин, приведших к возникновению микропов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реждения (микротравмы) работника, комиссия составляет акт (в двух экземплярах) и разрабатывает мероприятия по устранению причин, которые привели к микроповреждению (микротравме) с привлечением руководителя структурного подразделения, где работает работник.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4.2.8. Работодатель направляет работника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на внеплановый инструктаж или внеочередную проверку знаний требований охраны труда, если по результатам рассмотрения обстоятельств и причин, приведших к возникновению микроповреждения (микротравмы), выяснится, что работник нарушил требования охраны труда.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4.2.9. Работодатель обязан, обеспечивать строгое соблюдение трудовой дис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циплины, осуществлять организационную  работу, направленную на устранение потерь рабочего времени, применять меры  воздействия к нарушителям трудовой дисциплины;</w:t>
        <w:br/>
        <w:t xml:space="preserve">4.2.10. Соблюдать оговоренные в трудовом договоре, Положении об оплате труда (при наличии) усл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овия оплаты труда, выдавать зарплату не реже чем два раза в месяц.</w:t>
        <w:br/>
        <w:t xml:space="preserve">4.2.11. Способствовать повышению квалификации сотрудников и совершенствованию их   профессиональных навыков путем направления на курсы и тренинги;</w:t>
        <w:br/>
        <w:t xml:space="preserve">4.2.12. Обеспечивать бытовые нужды работни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ков, связанные с исполнением ими трудовых обязанностей;</w:t>
        <w:br/>
        <w:t xml:space="preserve">4.2.13. Осуществлять обязательное социальное страхование сотрудников в порядке,</w:t>
        <w:br/>
        <w:t xml:space="preserve">установленном федеральными законами;</w:t>
        <w:br/>
        <w:t xml:space="preserve">4.2.14. Работодатель обязан отстранить от работы (не допускать к работе) работника: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появившегося на работе в состоянии алкогольного, наркотического или иного токсического опьянения;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не прошедшего в установленном порядке обучение и проверку знаний и навыков в области охраны труда;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не прош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едшего в установленном порядке обязательный медицинский осмотр, а также обязательное психиатрическое освидетельствование в случаях, предусмотренных Трудовым Кодексом, другими федеральными законами и иными нормативными правовыми актами Российской Федерации;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при выявлении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противопоказаний для выполнения работником работы, обусловленной трудовым договором;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В период отстранения от работы (недопущения к работе) заработная плата работнику не начисляется, за исключением случаев, предусмотренных Кодексом или иными федеральными законами. В случаях отстранения от работы работника, который не прошел обучение и прове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рку знаний и навыков в области охраны труда либо обязательный медицинский осмотр не по своей вине, ему производится оплата за все время отстранения от работы как за простой.</w:t>
        <w:br/>
        <w:t xml:space="preserve">4.2.15. Выполнять иные обязанности, предусмотренные трудовым законодательством РФ.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5. Режим рабочего времени и времени отдыха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5.1. В организации устанавливается нормальный режим рабочего времени с продолжительностью рабочей недели 40 часов. Время начала работы с 9:00 до 18:00 по Московскому времени. Обеденный перерыв с 13:00 до 14:00.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В указанном режиме работают все сотрудники компании, в офисе, дистанционные работники, работники с гибридным графиком посещения (офис/дом).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Дистанционные работники и работники с гибридным графиком 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заимодействуют он-лайн в корпоративной программе Discord, указанные сотрудники должны быть на связи в рамках рабочего времени. Отвечать на сообщения в Discord, в рабочий чат Телеграм не менее чем, раз в 30 (тридцать) минут, с момента поступления сообщения.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При задержке ответа в онлайн, составляется служебная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записка о пропуске установленного времени на ответ, работнику необходимо написать объяснительную записку и выслать фотографию бумажной версии на электронную почту генерального директора или заместителя генерального директора, или в рабочий чат в Телеграм.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Все Работники компании в обязательном порядке пишут отчеты план/факт.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rtl w:val="0"/>
        </w:rPr>
        <w:t xml:space="preserve">Каждый день до 10:00 в рабочий чат отправляется план работы на день.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rtl w:val="0"/>
        </w:rPr>
        <w:t xml:space="preserve">Не позднее 18:00, отправляется фактическое исполнение плана.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5.2. Накануне нерабочих праздничных дней продолжительность рабочего дня сокращается на один час.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Нерабочими праздничными днями в Российской Федерации являются: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31 декабря,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1–6 и 8 января – новогодние каникулы;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7 января – Рождество Христово;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23 февраля – День защитника Отечества;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8 марта – Международный женский день;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 мая – Праздник Весны и Труда;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9 мая – День Победы; 12 июня – День России;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 ноября – День народного единства.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При совпадении выходного и праздничного дней выходной день переносится на следующий после праздничного рабочего дня.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5.3. Работа вне рабочего места (посещение учреждений и предприятий, командировки) производится по разрешению непосредственного руководителя работника. Командировка отмечается в Журнале учета командировок.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5.4. Для дистанционного работника, неявкой на работу считается, если в течении 2 (двух) суток начиная с 9:00 не выходил с Работодателем на связь: по электронной почте, по телефону, SMS сообщения, Discord, рабочий чат в Телеграм.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5.5. Работникам предоставляются ежегодные отпуска с сох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ранением места работы и среднего заработка. Ежегодный основной оплачиваемый отпуск предоставляется работникам продолжительностью 28 календарных. При этом отпуск должен быть использован не позднее 12 месяцев после окончания того рабочего года, за который он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предоставляется. Нерабочие праздничные дни, приходящиеся на период отпуска, в число календарных дней отпуска не включаются. Также в число календарных дней отпуска не включается период временной нетрудоспособности сотрудника при наличии больничного листка.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5.6. Право на использование отпуска за первый год работы возникает у работника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по истечении шести месяцев его непрерывной работы в организации.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(графиком отпусков).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Очередность предоставления отпусков (график отпусков) устанавливается работодателем с учетом производственной необходимости и пожеланий работников.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Не позднее 14 декабря каждого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года работник должен сообщить о своих пожеланиях в отношении отпуска на следующий календарный год своему непосредственному руководителю или напрямую в отдел кадров, определив месяц и продолжительность каждой части отпуска, для составления графика отпусков.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5.7. По соглашению между работником и работодателем ежегодный оплачиваемый отпуск может быть разделен на части.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При этом хотя бы одна из частей этого отпуска должна быть не менее 14 календарных дней.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Отзыв работника из отпуска допускается только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с его согласия и по приказу руководства организации.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При увольнении работнику выплачивается денежная компенсация за неиспользованный отпуск, или по его письменному заявлению неиспользованный отпуск может быть предоставлен с последующим увольнением.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5.8. По семейным обстоятельствам и другим уважительным причинам работнику по его письменному заявлению может быть предоставлен отпуск без сохранения зарплаты, продолжительность которого определяется по соглашению между работником и работодателем.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5.9. Работники, успешно обучающиеся в вузах, имеющих государственную аккредитацию, по заочной или вечерней формам обучения, имеют право на дополнительные отпуска с сохранением среднего заработка в соответствии с Трудовым кодексом РФ.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6. Использование телефонов в организации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6.1. Работникам для использования в производственных целях могут выдаваться мобильные телефоны.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6.2. Счета за услуги связи по мобильным телефонам при использовании телефонов в производственных целях работником оплачиваются работодателем.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6.3. В случае утери мобильного телефона работник сам обеспечивает себя средством связи.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6.4. В целях сокращения затрат на телефонные переговоры работник Общества должен: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использовать Discord, как основное средство общения, внутреннюю корпоративную программу «ЛидерТаск». Телефон используется в случаях экстренной необходимости;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заранее продумывать свой разговор, подготавливать темы для обсуждения.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7. Поощрения за успехи в работе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7.1. За высокопрофессиональное выполнение трудовых обязанностей, повышение производительности труда, продолжительную и безупречную работу и другие успехи в труде применяются следующие меры поощрения работников организации: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выплата денежного вознаграждения в виде премий производится ежемесячно, на основании Приказа Работодателя;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награждение ценным подарком.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8. Ответственность за нарушение трудовой дисциплины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8.1. За нарушение трудовой дисциплины Работодатель применяет следующие дисциплинарные взыскания: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замечание: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выговор;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– увольнение, за однократное грубое нарушение трудовых обязанностей: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left="720" w:hanging="360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прогул;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left="720" w:hanging="360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появление сотрудника на работе в состоянии алкогольного или наркотического опьянения;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left="720" w:hanging="360"/>
        <w:spacing w:after="16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разглашение коммерческой, служебной и иной тайны, в том числе разглашение персональных данных другого работника, и т. д.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8.2. До наложения взыскани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я от нарушителя трудовой дисциплины должны быть затребованы письменные объяснения. В случае отказа работника дать указанное объяснение составляется соответствующий акт. Отказ работника дать объяснения не может служить препятствием для применения взыскания.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8.3. За каждое нарушени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 трудовой дисциплины может быть наложено только одно дисциплинарное взыскание. При наложении дисциплинарного взыскания должны учитываться тяжесть совершенного проступка, обстоятельства, при которых он совершен, предшествующая работа и поведение работника.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8.4. Приказ о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применении дисциплинарного взыскания с указанием мотивов его применения объявляется (сообщается) работнику, подвергнутому взысканию, под расписку в трехдневный срок (не считая времени отсутствия работника). Дисциплинарное взыскание применяется не позднее о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дного месяца со дня обнаружения проступка (за исключением случаев, предусмотренных трудовым законодательством), не считая времени болезни работника, пребывания его в отпуске, а также времени, необходимого на учет мнения представительного органа работников.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8.5. 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 Дисциплинарное взыскание до истечения года со дня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его применения может быть снято Работодателем по своей инициативе, по ходатайству непосредственного руководителя или трудового коллектива, если подвергнутый дисциплинарному взысканию не совершил нового проступка и проявил себя как добросовестный работник.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9. Иные вопросы регулирования трудовых отношений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9.1. Работник имеет право жаловаться на допущенные, по его мнени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ю, нарушения трудового законодательства и настоящих Правил непосредственному руководителю и руководству организации. Работник вправе представлять письменные предложения по улучшению организации труда и по другим вопросам, регулируемым настоящими Правилами.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9.2. Работники, независимо от должностного положения, обязаны проявлять вежливость, уважение, терпимость как в отношениях между собой, так и при отношениях с клиентами.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9.3.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С Правилами внутреннего трудового распорядка должны быть ознакомлены все работники Общества, включая вновь принимаемых на работу. Все работники Общества, независимо от должностного положения, обязаны в своей повседневной работе соблюдать настоящие Правила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4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footnotePr/>
      <w:endnotePr/>
      <w:type w:val="nextPage"/>
      <w:pgSz w:w="11909" w:h="16834" w:orient="portrait"/>
      <w:pgMar w:top="1440" w:right="1440" w:bottom="1440" w:left="1440" w:header="72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ru" w:eastAsia="zh-CN" w:bidi="ar-SA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link w:val="835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link w:val="836"/>
    <w:uiPriority w:val="9"/>
    <w:rPr>
      <w:rFonts w:ascii="Arial" w:hAnsi="Arial" w:eastAsia="Arial" w:cs="Arial"/>
      <w:sz w:val="34"/>
    </w:rPr>
  </w:style>
  <w:style w:type="character" w:styleId="664">
    <w:name w:val="Heading 3 Char"/>
    <w:link w:val="837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link w:val="838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link w:val="839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link w:val="840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table" w:styleId="675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76">
    <w:name w:val="No Spacing"/>
    <w:uiPriority w:val="1"/>
    <w:qFormat/>
    <w:pPr>
      <w:spacing w:before="0" w:after="0" w:line="240" w:lineRule="auto"/>
    </w:pPr>
  </w:style>
  <w:style w:type="character" w:styleId="677">
    <w:name w:val="Title Char"/>
    <w:link w:val="841"/>
    <w:uiPriority w:val="10"/>
    <w:rPr>
      <w:sz w:val="48"/>
      <w:szCs w:val="48"/>
    </w:rPr>
  </w:style>
  <w:style w:type="character" w:styleId="678">
    <w:name w:val="Subtitle Char"/>
    <w:link w:val="842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6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</w:style>
  <w:style w:type="table" w:styleId="834" w:default="1">
    <w:name w:val="Table Normal"/>
    <w:tblPr/>
  </w:style>
  <w:style w:type="paragraph" w:styleId="835">
    <w:name w:val="Heading 1"/>
    <w:basedOn w:val="833"/>
    <w:next w:val="833"/>
    <w:pPr>
      <w:keepLines/>
      <w:keepNext/>
      <w:pageBreakBefore w:val="0"/>
      <w:spacing w:before="400" w:after="120"/>
    </w:pPr>
    <w:rPr>
      <w:sz w:val="40"/>
      <w:szCs w:val="40"/>
    </w:rPr>
  </w:style>
  <w:style w:type="paragraph" w:styleId="836">
    <w:name w:val="Heading 2"/>
    <w:basedOn w:val="833"/>
    <w:next w:val="833"/>
    <w:pPr>
      <w:keepLines/>
      <w:keepNext/>
      <w:pageBreakBefore w:val="0"/>
      <w:spacing w:before="360" w:after="120"/>
    </w:pPr>
    <w:rPr>
      <w:b w:val="0"/>
      <w:sz w:val="32"/>
      <w:szCs w:val="32"/>
    </w:rPr>
  </w:style>
  <w:style w:type="paragraph" w:styleId="837">
    <w:name w:val="Heading 3"/>
    <w:basedOn w:val="833"/>
    <w:next w:val="833"/>
    <w:pPr>
      <w:keepLines/>
      <w:keepNext/>
      <w:pageBreakBefore w:val="0"/>
      <w:spacing w:before="320" w:after="80"/>
    </w:pPr>
    <w:rPr>
      <w:b w:val="0"/>
      <w:color w:val="434343"/>
      <w:sz w:val="28"/>
      <w:szCs w:val="28"/>
    </w:rPr>
  </w:style>
  <w:style w:type="paragraph" w:styleId="838">
    <w:name w:val="Heading 4"/>
    <w:basedOn w:val="833"/>
    <w:next w:val="833"/>
    <w:pPr>
      <w:keepLines/>
      <w:keepNext/>
      <w:pageBreakBefore w:val="0"/>
      <w:spacing w:before="280" w:after="80"/>
    </w:pPr>
    <w:rPr>
      <w:color w:val="666666"/>
      <w:sz w:val="24"/>
      <w:szCs w:val="24"/>
    </w:rPr>
  </w:style>
  <w:style w:type="paragraph" w:styleId="839">
    <w:name w:val="Heading 5"/>
    <w:basedOn w:val="833"/>
    <w:next w:val="833"/>
    <w:pPr>
      <w:keepLines/>
      <w:keepNext/>
      <w:pageBreakBefore w:val="0"/>
      <w:spacing w:before="240" w:after="80"/>
    </w:pPr>
    <w:rPr>
      <w:color w:val="666666"/>
      <w:sz w:val="22"/>
      <w:szCs w:val="22"/>
    </w:rPr>
  </w:style>
  <w:style w:type="paragraph" w:styleId="840">
    <w:name w:val="Heading 6"/>
    <w:basedOn w:val="833"/>
    <w:next w:val="833"/>
    <w:pPr>
      <w:keepLines/>
      <w:keepNext/>
      <w:pageBreakBefore w:val="0"/>
      <w:spacing w:before="240" w:after="80"/>
    </w:pPr>
    <w:rPr>
      <w:i/>
      <w:color w:val="666666"/>
      <w:sz w:val="22"/>
      <w:szCs w:val="22"/>
    </w:rPr>
  </w:style>
  <w:style w:type="paragraph" w:styleId="841">
    <w:name w:val="Title"/>
    <w:basedOn w:val="833"/>
    <w:next w:val="833"/>
    <w:pPr>
      <w:keepLines/>
      <w:keepNext/>
      <w:pageBreakBefore w:val="0"/>
      <w:spacing w:before="0" w:after="60"/>
    </w:pPr>
    <w:rPr>
      <w:sz w:val="52"/>
      <w:szCs w:val="52"/>
    </w:rPr>
  </w:style>
  <w:style w:type="paragraph" w:styleId="842">
    <w:name w:val="Subtitle"/>
    <w:basedOn w:val="833"/>
    <w:next w:val="833"/>
    <w:pPr>
      <w:keepLines/>
      <w:keepNext/>
      <w:pageBreakBefore w:val="0"/>
      <w:spacing w:before="0" w:after="320"/>
    </w:pPr>
    <w:rPr>
      <w:rFonts w:ascii="Arial" w:hAnsi="Arial" w:eastAsia="Arial" w:cs="Arial"/>
      <w:i w:val="0"/>
      <w:color w:val="666666"/>
      <w:sz w:val="30"/>
      <w:szCs w:val="30"/>
    </w:rPr>
  </w:style>
  <w:style w:type="character" w:styleId="843" w:default="1">
    <w:name w:val="Default Paragraph Font"/>
    <w:uiPriority w:val="1"/>
    <w:semiHidden/>
    <w:unhideWhenUsed/>
  </w:style>
  <w:style w:type="numbering" w:styleId="84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Никита Талых</cp:lastModifiedBy>
  <cp:revision>2</cp:revision>
  <dcterms:modified xsi:type="dcterms:W3CDTF">2024-10-11T08:44:32Z</dcterms:modified>
</cp:coreProperties>
</file>